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6" w:rsidRPr="003639AD" w:rsidRDefault="005E7266" w:rsidP="005E7266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Cs w:val="20"/>
        </w:rPr>
      </w:pPr>
      <w:r w:rsidRPr="003639AD">
        <w:rPr>
          <w:rFonts w:cs="Arial"/>
          <w:b/>
          <w:szCs w:val="20"/>
        </w:rPr>
        <w:t xml:space="preserve">Kursus i kliniske aspekter, diagnostik og behandling af infektionssygdomme </w:t>
      </w:r>
      <w:r w:rsidRPr="003639AD">
        <w:rPr>
          <w:rFonts w:cs="Arial"/>
          <w:b/>
          <w:bCs/>
          <w:i/>
          <w:iCs/>
          <w:szCs w:val="20"/>
        </w:rPr>
        <w:t>(4 dage).</w:t>
      </w:r>
    </w:p>
    <w:p w:rsidR="00964D6A" w:rsidRPr="003639AD" w:rsidRDefault="00964D6A" w:rsidP="005E7266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Cs w:val="20"/>
        </w:rPr>
      </w:pPr>
    </w:p>
    <w:p w:rsidR="005E7266" w:rsidRPr="003639AD" w:rsidRDefault="00C479AB" w:rsidP="005E7266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t xml:space="preserve">Kurset i </w:t>
      </w:r>
      <w:r w:rsidR="00956BB5">
        <w:t xml:space="preserve">kliniske aspekter, </w:t>
      </w:r>
      <w:r>
        <w:t>diagnostik og behandling af infektionssygdomme er et overvejende teoretisk kursus bestående af forelæsninger og diskussionstimer. Kurset gennemgår en række kliniske entiteter, således, at kursisterne bliver i stand til at foreslå kliniske kolleger supplerende diagnostisk udredning, samt rådgive om valg af antimikrobiel behandling og andre behandlingsstrategier. Kurset gennemgår</w:t>
      </w:r>
      <w:r>
        <w:t xml:space="preserve"> </w:t>
      </w:r>
      <w:r>
        <w:t xml:space="preserve">også forhold, der påvirker valg af antimikrobiel behandling, herunder f.eks. særlige patientgrupper, lokale resistensforhold, resistensudvikling og </w:t>
      </w:r>
      <w:proofErr w:type="spellStart"/>
      <w:r>
        <w:t>toxicitet</w:t>
      </w:r>
      <w:proofErr w:type="spellEnd"/>
      <w:r>
        <w:t>. Dette sætter kursisterne i stand til rationelt at begrunde valg af antimikrobielle lægemidler ved behandling af individuelle patienter og i generelle instrukser for profylaktisk og terapeutisk anvendelse af antimikrobielle midler.</w:t>
      </w:r>
      <w:bookmarkStart w:id="0" w:name="_GoBack"/>
      <w:bookmarkEnd w:id="0"/>
    </w:p>
    <w:p w:rsidR="00CA622F" w:rsidRPr="003639AD" w:rsidRDefault="00CA622F" w:rsidP="005E7266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5E7266" w:rsidRPr="003639AD" w:rsidRDefault="005E7266" w:rsidP="005E7266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Efter kursus forventes kursisterne at kunne:</w:t>
      </w:r>
    </w:p>
    <w:p w:rsidR="00A86FDD" w:rsidRPr="003639AD" w:rsidRDefault="00A86FDD" w:rsidP="005E7266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rådgive om diagnostik og antimikrobiel behandling</w:t>
      </w:r>
      <w:r w:rsidR="004705E6" w:rsidRPr="003639AD">
        <w:rPr>
          <w:rFonts w:cs="Arial"/>
          <w:szCs w:val="20"/>
        </w:rPr>
        <w:t xml:space="preserve"> af</w:t>
      </w:r>
      <w:r w:rsidRPr="003639AD">
        <w:rPr>
          <w:rFonts w:cs="Arial"/>
          <w:szCs w:val="20"/>
        </w:rPr>
        <w:t xml:space="preserve"> en række forskellige sygdomsentiteter (fx infektiøs </w:t>
      </w:r>
      <w:proofErr w:type="spellStart"/>
      <w:r w:rsidRPr="003639AD">
        <w:rPr>
          <w:rFonts w:cs="Arial"/>
          <w:szCs w:val="20"/>
        </w:rPr>
        <w:t>endocarditis</w:t>
      </w:r>
      <w:proofErr w:type="spellEnd"/>
      <w:r w:rsidRPr="003639AD">
        <w:rPr>
          <w:rFonts w:cs="Arial"/>
          <w:szCs w:val="20"/>
        </w:rPr>
        <w:t xml:space="preserve">, fremmedlegemeinfektioner, </w:t>
      </w:r>
      <w:proofErr w:type="spellStart"/>
      <w:r w:rsidRPr="003639AD">
        <w:rPr>
          <w:rFonts w:cs="Arial"/>
          <w:szCs w:val="20"/>
        </w:rPr>
        <w:t>gastroenteritis</w:t>
      </w:r>
      <w:proofErr w:type="spellEnd"/>
      <w:r w:rsidRPr="003639AD">
        <w:rPr>
          <w:rFonts w:cs="Arial"/>
          <w:szCs w:val="20"/>
        </w:rPr>
        <w:t>, seksuelt overførte infektioner, svampeinfektioner)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 xml:space="preserve">rådgive om diagnostik og antimikrobiel behandling </w:t>
      </w:r>
      <w:r w:rsidR="004705E6" w:rsidRPr="003639AD">
        <w:rPr>
          <w:rFonts w:cs="Arial"/>
          <w:szCs w:val="20"/>
        </w:rPr>
        <w:t>ved</w:t>
      </w:r>
      <w:r w:rsidRPr="003639AD">
        <w:rPr>
          <w:rFonts w:cs="Arial"/>
          <w:szCs w:val="20"/>
        </w:rPr>
        <w:t xml:space="preserve"> særlige patientgrupper (fx immunsupprimerede, gravide, og ved penicillin-allergi)</w:t>
      </w:r>
    </w:p>
    <w:p w:rsidR="00DC6D56" w:rsidRPr="003639AD" w:rsidRDefault="00DC6D56" w:rsidP="00DC6D5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rådgive om antimikrobiel behandling ved infektion med multiresistente bakterier, herunder CPO og VRE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 xml:space="preserve">instituere behandling ud fra ætiologi og det specifikke </w:t>
      </w:r>
      <w:proofErr w:type="spellStart"/>
      <w:r w:rsidRPr="003639AD">
        <w:rPr>
          <w:rFonts w:cs="Arial"/>
          <w:szCs w:val="20"/>
        </w:rPr>
        <w:t>sygdomsbilllede</w:t>
      </w:r>
      <w:proofErr w:type="spellEnd"/>
      <w:r w:rsidRPr="003639AD">
        <w:rPr>
          <w:rFonts w:cs="Arial"/>
          <w:szCs w:val="20"/>
        </w:rPr>
        <w:t xml:space="preserve"> under hensyntagen til eksposition, oprindelse, fokus og </w:t>
      </w:r>
      <w:proofErr w:type="spellStart"/>
      <w:r w:rsidRPr="003639AD">
        <w:rPr>
          <w:rFonts w:cs="Arial"/>
          <w:szCs w:val="20"/>
        </w:rPr>
        <w:t>komorbiditet</w:t>
      </w:r>
      <w:proofErr w:type="spellEnd"/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 xml:space="preserve">foreslå antimikrobiel behandling på grundlag af foreliggende oplysninger om mulig ætiologi og resistensforhold samt ud fra </w:t>
      </w:r>
      <w:proofErr w:type="spellStart"/>
      <w:r w:rsidRPr="003639AD">
        <w:rPr>
          <w:rFonts w:cs="Arial"/>
          <w:szCs w:val="20"/>
        </w:rPr>
        <w:t>farmakokinetiske</w:t>
      </w:r>
      <w:proofErr w:type="spellEnd"/>
      <w:r w:rsidRPr="003639AD">
        <w:rPr>
          <w:rFonts w:cs="Arial"/>
          <w:szCs w:val="20"/>
        </w:rPr>
        <w:t xml:space="preserve"> og </w:t>
      </w:r>
      <w:proofErr w:type="spellStart"/>
      <w:r w:rsidRPr="003639AD">
        <w:rPr>
          <w:rFonts w:cs="Arial"/>
          <w:szCs w:val="20"/>
        </w:rPr>
        <w:t>farmakodynamiske</w:t>
      </w:r>
      <w:proofErr w:type="spellEnd"/>
      <w:r w:rsidRPr="003639AD">
        <w:rPr>
          <w:rFonts w:cs="Arial"/>
          <w:szCs w:val="20"/>
        </w:rPr>
        <w:t xml:space="preserve"> hensyn (rationel </w:t>
      </w:r>
      <w:proofErr w:type="spellStart"/>
      <w:r w:rsidRPr="003639AD">
        <w:rPr>
          <w:rFonts w:cs="Arial"/>
          <w:szCs w:val="20"/>
        </w:rPr>
        <w:t>farmakoterapi</w:t>
      </w:r>
      <w:proofErr w:type="spellEnd"/>
      <w:r w:rsidRPr="003639AD">
        <w:rPr>
          <w:rFonts w:cs="Arial"/>
          <w:szCs w:val="20"/>
        </w:rPr>
        <w:t xml:space="preserve">), </w:t>
      </w:r>
      <w:proofErr w:type="spellStart"/>
      <w:r w:rsidRPr="003639AD">
        <w:rPr>
          <w:rFonts w:cs="Arial"/>
          <w:szCs w:val="20"/>
        </w:rPr>
        <w:t>toxicitet</w:t>
      </w:r>
      <w:proofErr w:type="spellEnd"/>
      <w:r w:rsidRPr="003639AD">
        <w:rPr>
          <w:rFonts w:cs="Arial"/>
          <w:szCs w:val="20"/>
        </w:rPr>
        <w:t xml:space="preserve"> og terapeutisk effekt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 xml:space="preserve">vurdere risiko for resistensudvikling og på den baggrund optimere valget af antimikrobiel behandling og behandlingslængde 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foreslå og begrunde valg af empirisk behandling i relation til resistensforhold gældende i Danmark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redegøre for faktorer af betydning for optræden af sygehusinfektioner, herunder forbrug af antimikrobiel behandling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vejlede om hyppige årsager til svigt af antimikrobiel behandling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 xml:space="preserve">understøtte og inspirere kliniske kolleger til rationel </w:t>
      </w:r>
      <w:proofErr w:type="spellStart"/>
      <w:r w:rsidRPr="003639AD">
        <w:rPr>
          <w:rFonts w:cs="Arial"/>
          <w:szCs w:val="20"/>
        </w:rPr>
        <w:t>farmakoterapi</w:t>
      </w:r>
      <w:proofErr w:type="spellEnd"/>
      <w:r w:rsidRPr="003639AD">
        <w:rPr>
          <w:rFonts w:cs="Arial"/>
          <w:szCs w:val="20"/>
        </w:rPr>
        <w:t xml:space="preserve"> og infektionsudredning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 xml:space="preserve">medvirke ved formidling af information om infektioner, mikrobiologiske risici og forbrug af antimikrobielle kemoterapeutika til </w:t>
      </w:r>
      <w:r w:rsidR="00200B2F" w:rsidRPr="003639AD">
        <w:rPr>
          <w:rFonts w:cs="Arial"/>
          <w:szCs w:val="20"/>
        </w:rPr>
        <w:t>samarbejdspartnere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rådgive om profylaktisk brug af antimikrobiel behandling i forbindelse med diagnostiske og behandlingsmæssige indgreb herunder peroperativ profylakse</w:t>
      </w:r>
    </w:p>
    <w:p w:rsidR="00957BAA" w:rsidRPr="003639AD" w:rsidRDefault="00957BAA" w:rsidP="00957BA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639AD">
        <w:rPr>
          <w:rFonts w:cs="Arial"/>
          <w:szCs w:val="20"/>
        </w:rPr>
        <w:t>yde rådgivning til beslutningstagere om infektionsprofylakse og brug af antibiotisk behandling.</w:t>
      </w:r>
    </w:p>
    <w:p w:rsidR="00957BAA" w:rsidRPr="003639AD" w:rsidRDefault="00957BAA" w:rsidP="005E7266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957BAA" w:rsidRPr="003639AD" w:rsidRDefault="00957BAA" w:rsidP="005E7266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sectPr w:rsidR="00957BAA" w:rsidRPr="003639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787"/>
    <w:multiLevelType w:val="hybridMultilevel"/>
    <w:tmpl w:val="0B761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6"/>
    <w:rsid w:val="000072CC"/>
    <w:rsid w:val="00014E2A"/>
    <w:rsid w:val="000278B1"/>
    <w:rsid w:val="00053392"/>
    <w:rsid w:val="000619DE"/>
    <w:rsid w:val="00063900"/>
    <w:rsid w:val="000650C2"/>
    <w:rsid w:val="00066845"/>
    <w:rsid w:val="00071FA8"/>
    <w:rsid w:val="0007207C"/>
    <w:rsid w:val="00096D21"/>
    <w:rsid w:val="000B1482"/>
    <w:rsid w:val="000C25B3"/>
    <w:rsid w:val="000F3379"/>
    <w:rsid w:val="00103158"/>
    <w:rsid w:val="00115759"/>
    <w:rsid w:val="00125697"/>
    <w:rsid w:val="00125800"/>
    <w:rsid w:val="00174731"/>
    <w:rsid w:val="001A12BB"/>
    <w:rsid w:val="001C2B67"/>
    <w:rsid w:val="001D2A61"/>
    <w:rsid w:val="001E07C5"/>
    <w:rsid w:val="001F4955"/>
    <w:rsid w:val="001F4AEE"/>
    <w:rsid w:val="00200B2F"/>
    <w:rsid w:val="00217824"/>
    <w:rsid w:val="00225DEF"/>
    <w:rsid w:val="0023310E"/>
    <w:rsid w:val="00234184"/>
    <w:rsid w:val="00234682"/>
    <w:rsid w:val="00240EA6"/>
    <w:rsid w:val="00243A53"/>
    <w:rsid w:val="002442BC"/>
    <w:rsid w:val="00262BF9"/>
    <w:rsid w:val="00264BBA"/>
    <w:rsid w:val="00270E2C"/>
    <w:rsid w:val="0027243D"/>
    <w:rsid w:val="002970E4"/>
    <w:rsid w:val="002B61CD"/>
    <w:rsid w:val="002D2625"/>
    <w:rsid w:val="002D7CD5"/>
    <w:rsid w:val="002E51F0"/>
    <w:rsid w:val="002F2E03"/>
    <w:rsid w:val="002F7B1A"/>
    <w:rsid w:val="00315A05"/>
    <w:rsid w:val="00326F2D"/>
    <w:rsid w:val="0036378D"/>
    <w:rsid w:val="003639AD"/>
    <w:rsid w:val="003648C2"/>
    <w:rsid w:val="00365D2D"/>
    <w:rsid w:val="00372567"/>
    <w:rsid w:val="00386B55"/>
    <w:rsid w:val="003A285C"/>
    <w:rsid w:val="003D52A9"/>
    <w:rsid w:val="003D5340"/>
    <w:rsid w:val="004211E4"/>
    <w:rsid w:val="00436B7D"/>
    <w:rsid w:val="00442EDB"/>
    <w:rsid w:val="00450646"/>
    <w:rsid w:val="004705E6"/>
    <w:rsid w:val="004A2213"/>
    <w:rsid w:val="004C0B5E"/>
    <w:rsid w:val="004E3596"/>
    <w:rsid w:val="0050366F"/>
    <w:rsid w:val="0050577D"/>
    <w:rsid w:val="00537FAF"/>
    <w:rsid w:val="005508C4"/>
    <w:rsid w:val="00556E53"/>
    <w:rsid w:val="00560598"/>
    <w:rsid w:val="005636D7"/>
    <w:rsid w:val="00582BF7"/>
    <w:rsid w:val="0059123D"/>
    <w:rsid w:val="005A3A40"/>
    <w:rsid w:val="005A711A"/>
    <w:rsid w:val="005C053C"/>
    <w:rsid w:val="005E7266"/>
    <w:rsid w:val="005E7600"/>
    <w:rsid w:val="005F70D1"/>
    <w:rsid w:val="00601859"/>
    <w:rsid w:val="00604D92"/>
    <w:rsid w:val="00610628"/>
    <w:rsid w:val="00622BAF"/>
    <w:rsid w:val="00643996"/>
    <w:rsid w:val="00660166"/>
    <w:rsid w:val="00674CD4"/>
    <w:rsid w:val="006A2256"/>
    <w:rsid w:val="006C5DD1"/>
    <w:rsid w:val="00700961"/>
    <w:rsid w:val="007055FB"/>
    <w:rsid w:val="007102CE"/>
    <w:rsid w:val="00721DAE"/>
    <w:rsid w:val="00740736"/>
    <w:rsid w:val="00744E97"/>
    <w:rsid w:val="00756B1A"/>
    <w:rsid w:val="00766F11"/>
    <w:rsid w:val="00773E0C"/>
    <w:rsid w:val="007757F7"/>
    <w:rsid w:val="007A0BD4"/>
    <w:rsid w:val="007A6038"/>
    <w:rsid w:val="007A7A41"/>
    <w:rsid w:val="007B4243"/>
    <w:rsid w:val="007E5D6A"/>
    <w:rsid w:val="007F5833"/>
    <w:rsid w:val="008244B6"/>
    <w:rsid w:val="00835E96"/>
    <w:rsid w:val="00835F8C"/>
    <w:rsid w:val="0084358B"/>
    <w:rsid w:val="00845AD6"/>
    <w:rsid w:val="00846429"/>
    <w:rsid w:val="00882FD5"/>
    <w:rsid w:val="00886B6A"/>
    <w:rsid w:val="008B1123"/>
    <w:rsid w:val="008C538F"/>
    <w:rsid w:val="008F0F33"/>
    <w:rsid w:val="00917297"/>
    <w:rsid w:val="00924149"/>
    <w:rsid w:val="009308C5"/>
    <w:rsid w:val="00956BB5"/>
    <w:rsid w:val="00957BAA"/>
    <w:rsid w:val="009631C8"/>
    <w:rsid w:val="00964D6A"/>
    <w:rsid w:val="0096752C"/>
    <w:rsid w:val="0097462C"/>
    <w:rsid w:val="00974D34"/>
    <w:rsid w:val="00985B14"/>
    <w:rsid w:val="00986680"/>
    <w:rsid w:val="00995BEB"/>
    <w:rsid w:val="009A2F80"/>
    <w:rsid w:val="009B4CE7"/>
    <w:rsid w:val="009C6ED5"/>
    <w:rsid w:val="009D77A6"/>
    <w:rsid w:val="009F7001"/>
    <w:rsid w:val="00A00984"/>
    <w:rsid w:val="00A06356"/>
    <w:rsid w:val="00A14630"/>
    <w:rsid w:val="00A3360C"/>
    <w:rsid w:val="00A37F10"/>
    <w:rsid w:val="00A46EC7"/>
    <w:rsid w:val="00A618FF"/>
    <w:rsid w:val="00A76491"/>
    <w:rsid w:val="00A86FDD"/>
    <w:rsid w:val="00A87A3F"/>
    <w:rsid w:val="00A92196"/>
    <w:rsid w:val="00A950F1"/>
    <w:rsid w:val="00A9531F"/>
    <w:rsid w:val="00AA48F7"/>
    <w:rsid w:val="00AB765D"/>
    <w:rsid w:val="00AC6955"/>
    <w:rsid w:val="00AE73D3"/>
    <w:rsid w:val="00B07383"/>
    <w:rsid w:val="00B10EE4"/>
    <w:rsid w:val="00B21FDC"/>
    <w:rsid w:val="00B27006"/>
    <w:rsid w:val="00B340C4"/>
    <w:rsid w:val="00B510E1"/>
    <w:rsid w:val="00B517D0"/>
    <w:rsid w:val="00B569E1"/>
    <w:rsid w:val="00B60BAB"/>
    <w:rsid w:val="00B6110A"/>
    <w:rsid w:val="00B76CD6"/>
    <w:rsid w:val="00B7775E"/>
    <w:rsid w:val="00BB6EA9"/>
    <w:rsid w:val="00C10639"/>
    <w:rsid w:val="00C1070F"/>
    <w:rsid w:val="00C303AF"/>
    <w:rsid w:val="00C36B9F"/>
    <w:rsid w:val="00C43853"/>
    <w:rsid w:val="00C479AB"/>
    <w:rsid w:val="00C61DF1"/>
    <w:rsid w:val="00C76654"/>
    <w:rsid w:val="00C84331"/>
    <w:rsid w:val="00C97E15"/>
    <w:rsid w:val="00CA622F"/>
    <w:rsid w:val="00CE0869"/>
    <w:rsid w:val="00CE3808"/>
    <w:rsid w:val="00CE70D3"/>
    <w:rsid w:val="00CF56B7"/>
    <w:rsid w:val="00D1200B"/>
    <w:rsid w:val="00D13574"/>
    <w:rsid w:val="00D36FA5"/>
    <w:rsid w:val="00D44A1A"/>
    <w:rsid w:val="00D44E1A"/>
    <w:rsid w:val="00D54B69"/>
    <w:rsid w:val="00D56638"/>
    <w:rsid w:val="00D63134"/>
    <w:rsid w:val="00D64698"/>
    <w:rsid w:val="00D65700"/>
    <w:rsid w:val="00D66471"/>
    <w:rsid w:val="00D80BA5"/>
    <w:rsid w:val="00D8264E"/>
    <w:rsid w:val="00D857FD"/>
    <w:rsid w:val="00DB258B"/>
    <w:rsid w:val="00DB7F1B"/>
    <w:rsid w:val="00DC6D56"/>
    <w:rsid w:val="00DD4EEC"/>
    <w:rsid w:val="00DF190E"/>
    <w:rsid w:val="00E01F85"/>
    <w:rsid w:val="00E2001E"/>
    <w:rsid w:val="00E25C8C"/>
    <w:rsid w:val="00E375B7"/>
    <w:rsid w:val="00E459E2"/>
    <w:rsid w:val="00E505FF"/>
    <w:rsid w:val="00E57F8A"/>
    <w:rsid w:val="00E9436A"/>
    <w:rsid w:val="00EB08D5"/>
    <w:rsid w:val="00EB19E5"/>
    <w:rsid w:val="00EC53EA"/>
    <w:rsid w:val="00ED1155"/>
    <w:rsid w:val="00ED3252"/>
    <w:rsid w:val="00F36107"/>
    <w:rsid w:val="00F41AD2"/>
    <w:rsid w:val="00F74B6C"/>
    <w:rsid w:val="00F85756"/>
    <w:rsid w:val="00FB095E"/>
    <w:rsid w:val="00FD7CCC"/>
    <w:rsid w:val="00FE3CF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4CA0"/>
  <w15:docId w15:val="{A872FB60-1DDD-418E-81C9-CAD2C76D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Tornvig Erikstrup</dc:creator>
  <cp:lastModifiedBy>Lise Tornvig Erikstrup</cp:lastModifiedBy>
  <cp:revision>7</cp:revision>
  <dcterms:created xsi:type="dcterms:W3CDTF">2020-11-11T12:47:00Z</dcterms:created>
  <dcterms:modified xsi:type="dcterms:W3CDTF">2020-12-07T09:46:00Z</dcterms:modified>
</cp:coreProperties>
</file>